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caps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caps/>
          <w:sz w:val="28"/>
          <w:szCs w:val="28"/>
          <w:lang w:eastAsia="zh-CN"/>
        </w:rPr>
        <w:t>10 Определение высот пунктов съемочных сетей и способы закрепления пунктов маркшейдерской сети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sz w:val="28"/>
          <w:szCs w:val="28"/>
          <w:lang w:eastAsia="zh-CN"/>
        </w:rPr>
        <w:tab/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sz w:val="28"/>
          <w:szCs w:val="28"/>
          <w:lang w:eastAsia="zh-CN"/>
        </w:rPr>
        <w:t>План лекции: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sz w:val="28"/>
          <w:szCs w:val="28"/>
          <w:lang w:eastAsia="zh-CN"/>
        </w:rPr>
        <w:t>1 Способы определения высот пунктов съемочной сети;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2 </w:t>
      </w:r>
      <w:r w:rsidRPr="00C72182">
        <w:rPr>
          <w:rFonts w:ascii="Times New Roman" w:hAnsi="Times New Roman"/>
          <w:bCs/>
          <w:sz w:val="28"/>
          <w:szCs w:val="28"/>
          <w:lang w:val="x-none" w:eastAsia="x-none"/>
        </w:rPr>
        <w:t>Определение поправок за кривизну и рефракцию;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bCs/>
          <w:sz w:val="28"/>
          <w:szCs w:val="28"/>
          <w:lang w:val="x-none" w:eastAsia="x-none"/>
        </w:rPr>
        <w:t>3 Определение погрешности геометрического нивелирования;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bCs/>
          <w:sz w:val="28"/>
          <w:szCs w:val="28"/>
          <w:lang w:val="x-none" w:eastAsia="x-none"/>
        </w:rPr>
        <w:t>4 Определение погрешности тригонометрического нивелирования.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b/>
          <w:sz w:val="28"/>
          <w:szCs w:val="28"/>
          <w:lang w:val="x-none" w:eastAsia="x-none"/>
        </w:rPr>
        <w:t>10.1 Способы определения высот пунктов съемочной сети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Высотной опорой на открытых разработках являются реперы и стенные марки нивелирования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III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IV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классов.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Высоты пунктов маркшейдерского съемочного обоснования определяют геометрическим (техническим) и тригонометрическим нивелированием.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Ходы технического нивелирования прокладываются между исходными реперами в одном направлении. Разрешается прокладывать висячие ходы в прямом и обратном направлениях. Расстояния до реек не должны превышать </w:t>
      </w:r>
      <w:smartTag w:uri="urn:schemas-microsoft-com:office:smarttags" w:element="metricconverter">
        <w:smartTagPr>
          <w:attr w:name="ProductID" w:val="150 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150 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. Разность превышений, определенных по черным и красным сторонам реек или при двух горизонтах, не должны превышать </w:t>
      </w:r>
      <w:smartTag w:uri="urn:schemas-microsoft-com:office:smarttags" w:element="metricconverter">
        <w:smartTagPr>
          <w:attr w:name="ProductID" w:val="5 м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5 мм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>. Невязки ходов не должны превышать 50 мм</w:t>
      </w:r>
      <w:r w:rsidRPr="00C72182">
        <w:rPr>
          <w:rFonts w:ascii="Times New Roman" w:hAnsi="Times New Roman"/>
          <w:position w:val="-6"/>
          <w:sz w:val="28"/>
          <w:szCs w:val="28"/>
          <w:lang w:val="x-none" w:eastAsia="x-none"/>
        </w:rPr>
        <w:object w:dxaOrig="4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17.25pt" o:ole="">
            <v:imagedata r:id="rId4" o:title=""/>
          </v:shape>
          <o:OLEObject Type="Embed" ProgID="Equation.3" ShapeID="_x0000_i1025" DrawAspect="Content" ObjectID="_1645951447" r:id="rId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L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длина хода, км. При числе станций на </w:t>
      </w:r>
      <w:smartTag w:uri="urn:schemas-microsoft-com:office:smarttags" w:element="metricconverter">
        <w:smartTagPr>
          <w:attr w:name="ProductID" w:val="1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1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более 25 невязка в ходе не должна превышать</w:t>
      </w:r>
      <w:r w:rsidRPr="00C72182">
        <w:rPr>
          <w:rFonts w:ascii="Times New Roman" w:hAnsi="Times New Roman"/>
          <w:position w:val="-8"/>
          <w:sz w:val="28"/>
          <w:szCs w:val="28"/>
          <w:lang w:val="x-none" w:eastAsia="x-none"/>
        </w:rPr>
        <w:object w:dxaOrig="600" w:dyaOrig="360">
          <v:shape id="_x0000_i1026" type="#_x0000_t75" style="width:30pt;height:18pt" o:ole="">
            <v:imagedata r:id="rId6" o:title=""/>
          </v:shape>
          <o:OLEObject Type="Embed" ProgID="Equation.3" ShapeID="_x0000_i1026" DrawAspect="Content" ObjectID="_1645951448" r:id="rId7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мм, где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п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число станций в ходе. Нивелир Н-10 и более точные, рейки РН-4, РН-5.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Техническим нивелированием определяются высотные отметки пунктов съемочного обоснования, создаваемых в виде эксплуатационных сеток, прокладкой теодолитных ходов, методом триангуляции и т.д.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При создании сетей пунктов съемочного обоснования в карьере полярным способом и геодезическими засечками передачу высотных отметок на отдельные вставляемые пункты производят тригонометрическим нивелированием, т.е.  кроме координат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x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y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съемочного пункта одновременно определяют и координату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z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(Н).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Превышение в тригонометрическом нивелировании (рис. 10.1) определяется по формуле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2520" w:dyaOrig="660">
          <v:shape id="_x0000_i1027" type="#_x0000_t75" style="width:131.25pt;height:40.5pt" o:ole="">
            <v:imagedata r:id="rId8" o:title=""/>
          </v:shape>
          <o:OLEObject Type="Embed" ProgID="Equation.3" ShapeID="_x0000_i1027" DrawAspect="Content" ObjectID="_1645951449" r:id="rId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,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где последний член в уравнении – суммарная поправка за кривизну и рефракцию (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– расстояние между точками,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R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радиус Земли).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При значительных углах наклона и больших расстояниях между пунктами вводят поправки за превышения за кривизну Земли и рефракцию вычисляют по формуле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0"/>
          <w:sz w:val="28"/>
          <w:szCs w:val="28"/>
          <w:lang w:val="x-none" w:eastAsia="x-none"/>
        </w:rPr>
        <w:object w:dxaOrig="1340" w:dyaOrig="540">
          <v:shape id="_x0000_i1028" type="#_x0000_t75" style="width:1in;height:27.75pt" o:ole="">
            <v:imagedata r:id="rId10" o:title=""/>
          </v:shape>
          <o:OLEObject Type="Embed" ProgID="Equation.3" ShapeID="_x0000_i1028" DrawAspect="Content" ObjectID="_1645951450" r:id="rId1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1240" w:dyaOrig="660">
          <v:shape id="_x0000_i1029" type="#_x0000_t75" style="width:66.75pt;height:39pt" o:ole="">
            <v:imagedata r:id="rId12" o:title=""/>
          </v:shape>
          <o:OLEObject Type="Embed" ProgID="Equation.3" ShapeID="_x0000_i1029" DrawAspect="Content" ObjectID="_1645951451" r:id="rId13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,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lastRenderedPageBreak/>
        <w:t>v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</w:t>
      </w:r>
      <w:proofErr w:type="gramStart"/>
      <w:r w:rsidRPr="00C72182">
        <w:rPr>
          <w:rFonts w:ascii="Times New Roman" w:hAnsi="Times New Roman"/>
          <w:sz w:val="28"/>
          <w:szCs w:val="28"/>
          <w:lang w:val="x-none" w:eastAsia="x-none"/>
        </w:rPr>
        <w:t>угол</w:t>
      </w:r>
      <w:proofErr w:type="gram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наклона линии визирования.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Поправки за кривизну Земли и рефракцию учитывают при одностороннем определении превышений и вводят со знаком «плюс» в превышения, определенные с пункта, на котором измерен вертикальный угол.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Ходы тригонометрического нивелирования должны опираться на пункты высотной опорной сети не ниже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IV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класса. Длина хода не должна превышать </w:t>
      </w:r>
      <w:smartTag w:uri="urn:schemas-microsoft-com:office:smarttags" w:element="metricconverter">
        <w:smartTagPr>
          <w:attr w:name="ProductID" w:val="2,5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2,5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>. Превышения для каждой стороны должны определяться в прямом и обратном направлении, расхождение не должно превышать 0,04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l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см, где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l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длина стороны. Невязки ходов тригонометрического нивелирования , проложенных между пунктами опорной сети не должны превышать </w:t>
      </w:r>
      <w:r w:rsidRPr="00C72182">
        <w:rPr>
          <w:rFonts w:ascii="Times New Roman" w:hAnsi="Times New Roman"/>
          <w:position w:val="-28"/>
          <w:sz w:val="28"/>
          <w:szCs w:val="28"/>
          <w:lang w:val="x-none" w:eastAsia="x-none"/>
        </w:rPr>
        <w:object w:dxaOrig="1160" w:dyaOrig="660">
          <v:shape id="_x0000_i1030" type="#_x0000_t75" style="width:57.75pt;height:33pt" o:ole="">
            <v:imagedata r:id="rId14" o:title=""/>
          </v:shape>
          <o:OLEObject Type="Embed" ProgID="Equation.3" ShapeID="_x0000_i1030" DrawAspect="Content" ObjectID="_1645951452" r:id="rId1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см, где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L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длина хода,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п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число сторон.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При создании съемочной сети способом геодезических засечек или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проложениями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цепочек треугольников превышения определяют в прямом и обратном направлениях или с двух исходных пунктов. При полярном способе превышения определяют, изменив высоту прибора или цели.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Расстояния между исходными и определяемыми пунктами не должны превышать </w:t>
      </w:r>
      <w:smartTag w:uri="urn:schemas-microsoft-com:office:smarttags" w:element="metricconverter">
        <w:smartTagPr>
          <w:attr w:name="ProductID" w:val="1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1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при измерении углов теодолитом Т30, </w:t>
      </w:r>
      <w:smartTag w:uri="urn:schemas-microsoft-com:office:smarttags" w:element="metricconverter">
        <w:smartTagPr>
          <w:attr w:name="ProductID" w:val="1,5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1,5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теодолитом Е15 и </w:t>
      </w:r>
      <w:smartTag w:uri="urn:schemas-microsoft-com:office:smarttags" w:element="metricconverter">
        <w:smartTagPr>
          <w:attr w:name="ProductID" w:val="2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2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при измерении углов более точными теодолитами.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Расхождения между двумя определениями высоты пункта не должны быть больше 0,03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l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см при расстояниях до </w:t>
      </w:r>
      <w:smartTag w:uri="urn:schemas-microsoft-com:office:smarttags" w:element="metricconverter">
        <w:smartTagPr>
          <w:attr w:name="ProductID" w:val="1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1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>, 0,02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l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см при расстояниях более </w:t>
      </w:r>
      <w:smartTag w:uri="urn:schemas-microsoft-com:office:smarttags" w:element="metricconverter">
        <w:smartTagPr>
          <w:attr w:name="ProductID" w:val="1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1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>,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l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– длина стороны, м. Если число определений высоты пункта больше двух, отклонение любого значения не должно превышать </w:t>
      </w:r>
      <w:smartTag w:uri="urn:schemas-microsoft-com:office:smarttags" w:element="metricconverter">
        <w:smartTagPr>
          <w:attr w:name="ProductID" w:val="20 с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20 см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>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b/>
          <w:sz w:val="28"/>
          <w:szCs w:val="28"/>
          <w:lang w:val="x-none" w:eastAsia="x-none"/>
        </w:rPr>
        <w:t xml:space="preserve">10.2 </w:t>
      </w:r>
      <w:r w:rsidRPr="00C72182">
        <w:rPr>
          <w:rFonts w:ascii="Times New Roman" w:hAnsi="Times New Roman"/>
          <w:b/>
          <w:bCs/>
          <w:sz w:val="28"/>
          <w:szCs w:val="28"/>
          <w:lang w:val="x-none" w:eastAsia="x-none"/>
        </w:rPr>
        <w:t>Определение поправок за кривизну и рефракцию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При расхождениях от исходного пункта до определяемого более 700м и одностороннем тригонометрическом нивелировании в превышение вводят поправки за кривизну и рефракцию.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object w:dxaOrig="3900" w:dyaOrig="3615">
          <v:shape id="_x0000_i1031" type="#_x0000_t75" style="width:279pt;height:233.25pt" o:ole="">
            <v:imagedata r:id="rId16" o:title=""/>
          </v:shape>
          <o:OLEObject Type="Embed" ProgID="AutoCAD.Drawing.17" ShapeID="_x0000_i1031" DrawAspect="Content" ObjectID="_1645951453" r:id="rId17"/>
        </w:objec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bCs/>
          <w:sz w:val="28"/>
          <w:szCs w:val="28"/>
          <w:lang w:val="x-none" w:eastAsia="x-none"/>
        </w:rPr>
        <w:t>Рисунок 10.1 - Определение поправок за кривизну и рефракцию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lastRenderedPageBreak/>
        <w:tab/>
        <w:t>Введем обозначения: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r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</w:t>
      </w:r>
      <w:proofErr w:type="gramStart"/>
      <w:r w:rsidRPr="00C72182">
        <w:rPr>
          <w:rFonts w:ascii="Times New Roman" w:hAnsi="Times New Roman"/>
          <w:sz w:val="28"/>
          <w:szCs w:val="28"/>
          <w:lang w:val="x-none" w:eastAsia="x-none"/>
        </w:rPr>
        <w:t>поправка</w:t>
      </w:r>
      <w:proofErr w:type="gram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за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рефракцию;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P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поправка за кривизну; 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i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высота прибора;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ν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</w:t>
      </w:r>
      <w:proofErr w:type="gramStart"/>
      <w:r w:rsidRPr="00C72182">
        <w:rPr>
          <w:rFonts w:ascii="Times New Roman" w:hAnsi="Times New Roman"/>
          <w:sz w:val="28"/>
          <w:szCs w:val="28"/>
          <w:lang w:val="x-none" w:eastAsia="x-none"/>
        </w:rPr>
        <w:t>высота</w:t>
      </w:r>
      <w:proofErr w:type="gram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визирования; </w:t>
      </w:r>
      <w:r w:rsidRPr="00C72182">
        <w:rPr>
          <w:rFonts w:ascii="Times New Roman" w:hAnsi="Times New Roman"/>
          <w:position w:val="-6"/>
          <w:sz w:val="28"/>
          <w:szCs w:val="28"/>
          <w:lang w:val="en-US" w:eastAsia="x-none"/>
        </w:rPr>
        <w:object w:dxaOrig="200" w:dyaOrig="220">
          <v:shape id="_x0000_i1032" type="#_x0000_t75" style="width:12.75pt;height:13.5pt" o:ole="" o:bullet="t">
            <v:imagedata r:id="rId18" o:title=""/>
          </v:shape>
          <o:OLEObject Type="Embed" ProgID="Equation.3" ShapeID="_x0000_i1032" DrawAspect="Content" ObjectID="_1645951454" r:id="rId1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- угол наклона.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1320" w:dyaOrig="340">
          <v:shape id="_x0000_i1033" type="#_x0000_t75" style="width:66pt;height:17.25pt" o:ole="">
            <v:imagedata r:id="rId20" o:title=""/>
          </v:shape>
          <o:OLEObject Type="Embed" ProgID="Equation.3" ShapeID="_x0000_i1033" DrawAspect="Content" ObjectID="_1645951455" r:id="rId2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; </w:t>
      </w:r>
      <w:r w:rsidRPr="00C72182">
        <w:rPr>
          <w:rFonts w:ascii="Times New Roman" w:hAnsi="Times New Roman"/>
          <w:position w:val="-6"/>
          <w:sz w:val="28"/>
          <w:szCs w:val="28"/>
          <w:lang w:val="x-none" w:eastAsia="x-none"/>
        </w:rPr>
        <w:object w:dxaOrig="2520" w:dyaOrig="279">
          <v:shape id="_x0000_i1034" type="#_x0000_t75" style="width:126pt;height:14.25pt" o:ole="">
            <v:imagedata r:id="rId22" o:title=""/>
          </v:shape>
          <o:OLEObject Type="Embed" ProgID="Equation.3" ShapeID="_x0000_i1034" DrawAspect="Content" ObjectID="_1645951456" r:id="rId23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; </w:t>
      </w:r>
      <w:r w:rsidRPr="00C72182">
        <w:rPr>
          <w:rFonts w:ascii="Times New Roman" w:hAnsi="Times New Roman"/>
          <w:position w:val="-10"/>
          <w:sz w:val="28"/>
          <w:szCs w:val="28"/>
          <w:lang w:val="en-US" w:eastAsia="x-none"/>
        </w:rPr>
        <w:object w:dxaOrig="2299" w:dyaOrig="320">
          <v:shape id="_x0000_i1035" type="#_x0000_t75" style="width:114pt;height:15.75pt" o:ole="">
            <v:imagedata r:id="rId24" o:title=""/>
          </v:shape>
          <o:OLEObject Type="Embed" ProgID="Equation.3" ShapeID="_x0000_i1035" DrawAspect="Content" ObjectID="_1645951457" r:id="rId2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Определим СЕ из Δ СКЕ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3739" w:dyaOrig="776">
          <v:shape id="_x0000_i1036" type="#_x0000_t75" style="width:189pt;height:39pt" o:ole="">
            <v:imagedata r:id="rId26" o:title=""/>
          </v:shape>
          <o:OLEObject Type="Embed" ProgID="Equation.3" ShapeID="_x0000_i1036" DrawAspect="Content" ObjectID="_1645951458" r:id="rId27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; </w:t>
      </w:r>
      <w:r w:rsidRPr="00C72182">
        <w:rPr>
          <w:rFonts w:ascii="Times New Roman" w:hAnsi="Times New Roman"/>
          <w:position w:val="-28"/>
          <w:sz w:val="28"/>
          <w:szCs w:val="28"/>
          <w:lang w:val="en-US" w:eastAsia="x-none"/>
        </w:rPr>
        <w:object w:dxaOrig="1640" w:dyaOrig="660">
          <v:shape id="_x0000_i1037" type="#_x0000_t75" style="width:98.25pt;height:39.75pt" o:ole="">
            <v:imagedata r:id="rId28" o:title=""/>
          </v:shape>
          <o:OLEObject Type="Embed" ProgID="Equation.3" ShapeID="_x0000_i1037" DrawAspect="Content" ObjectID="_1645951459" r:id="rId2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;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Умножим и разделим правую часть на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cos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position w:val="-6"/>
          <w:sz w:val="28"/>
          <w:szCs w:val="28"/>
          <w:lang w:val="en-US" w:eastAsia="x-none"/>
        </w:rPr>
        <w:object w:dxaOrig="200" w:dyaOrig="220">
          <v:shape id="_x0000_i1038" type="#_x0000_t75" style="width:12pt;height:13.5pt" o:ole="" o:bullet="t">
            <v:imagedata r:id="rId18" o:title=""/>
          </v:shape>
          <o:OLEObject Type="Embed" ProgID="Equation.3" ShapeID="_x0000_i1038" DrawAspect="Content" ObjectID="_1645951460" r:id="rId30"/>
        </w:objec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en-US" w:eastAsia="x-none"/>
        </w:rPr>
      </w:pP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180" w:dyaOrig="340">
          <v:shape id="_x0000_i1039" type="#_x0000_t75" style="width:9pt;height:17.25pt" o:ole="" o:bullet="t">
            <v:imagedata r:id="rId31" o:title=""/>
          </v:shape>
          <o:OLEObject Type="Embed" ProgID="Equation.3" ShapeID="_x0000_i1039" DrawAspect="Content" ObjectID="_1645951461" r:id="rId32"/>
        </w:object>
      </w:r>
      <w:r w:rsidRPr="00C72182">
        <w:rPr>
          <w:rFonts w:ascii="Times New Roman" w:hAnsi="Times New Roman"/>
          <w:position w:val="-28"/>
          <w:sz w:val="28"/>
          <w:szCs w:val="28"/>
          <w:lang w:val="en-US" w:eastAsia="x-none"/>
        </w:rPr>
        <w:object w:dxaOrig="4099" w:dyaOrig="660">
          <v:shape id="_x0000_i1040" type="#_x0000_t75" style="width:246pt;height:39.75pt" o:ole="">
            <v:imagedata r:id="rId33" o:title=""/>
          </v:shape>
          <o:OLEObject Type="Embed" ProgID="Equation.3" ShapeID="_x0000_i1040" DrawAspect="Content" ObjectID="_1645951462" r:id="rId34"/>
        </w:objec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 xml:space="preserve">Третий сомножитель этого равенства при </w:t>
      </w:r>
      <w:r w:rsidRPr="00C72182">
        <w:rPr>
          <w:rFonts w:ascii="Times New Roman" w:hAnsi="Times New Roman"/>
          <w:position w:val="-6"/>
          <w:sz w:val="28"/>
          <w:szCs w:val="28"/>
          <w:lang w:val="en-US" w:eastAsia="x-none"/>
        </w:rPr>
        <w:object w:dxaOrig="200" w:dyaOrig="220">
          <v:shape id="_x0000_i1041" type="#_x0000_t75" style="width:12.75pt;height:13.5pt" o:ole="" o:bullet="t">
            <v:imagedata r:id="rId18" o:title=""/>
          </v:shape>
          <o:OLEObject Type="Embed" ProgID="Equation.3" ShapeID="_x0000_i1041" DrawAspect="Content" ObjectID="_1645951463" r:id="rId3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=10</w:t>
      </w:r>
      <w:r w:rsidRPr="00C72182">
        <w:rPr>
          <w:rFonts w:ascii="Times New Roman" w:hAnsi="Times New Roman"/>
          <w:sz w:val="28"/>
          <w:szCs w:val="28"/>
          <w:vertAlign w:val="superscript"/>
          <w:lang w:val="x-none" w:eastAsia="x-none"/>
        </w:rPr>
        <w:t>0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=10 км равен1,000 при </w:t>
      </w:r>
      <w:r w:rsidRPr="00C72182">
        <w:rPr>
          <w:rFonts w:ascii="Times New Roman" w:hAnsi="Times New Roman"/>
          <w:position w:val="-6"/>
          <w:sz w:val="28"/>
          <w:szCs w:val="28"/>
          <w:lang w:val="en-US" w:eastAsia="x-none"/>
        </w:rPr>
        <w:object w:dxaOrig="200" w:dyaOrig="220">
          <v:shape id="_x0000_i1042" type="#_x0000_t75" style="width:12.75pt;height:13.5pt" o:ole="" o:bullet="t">
            <v:imagedata r:id="rId18" o:title=""/>
          </v:shape>
          <o:OLEObject Type="Embed" ProgID="Equation.3" ShapeID="_x0000_i1042" DrawAspect="Content" ObjectID="_1645951464" r:id="rId36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=10</w:t>
      </w:r>
      <w:r w:rsidRPr="00C72182">
        <w:rPr>
          <w:rFonts w:ascii="Times New Roman" w:hAnsi="Times New Roman"/>
          <w:sz w:val="28"/>
          <w:szCs w:val="28"/>
          <w:vertAlign w:val="superscript"/>
          <w:lang w:val="x-none" w:eastAsia="x-none"/>
        </w:rPr>
        <w:t>0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=1 км он равен 1,00003; чем длиннее линия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тем меньше их углы наклона, а чем короче линия, тем меньше центральный угол, поэтому этот сомножитель можно принять равным 1, поэтому </w:t>
      </w: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1120" w:dyaOrig="320">
          <v:shape id="_x0000_i1043" type="#_x0000_t75" style="width:1in;height:19.5pt" o:ole="">
            <v:imagedata r:id="rId37" o:title=""/>
          </v:shape>
          <o:OLEObject Type="Embed" ProgID="Equation.3" ShapeID="_x0000_i1043" DrawAspect="Content" ObjectID="_1645951465" r:id="rId38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тогда 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180" w:dyaOrig="340">
          <v:shape id="_x0000_i1044" type="#_x0000_t75" style="width:9pt;height:17.25pt" o:ole="" o:bullet="t">
            <v:imagedata r:id="rId31" o:title=""/>
          </v:shape>
          <o:OLEObject Type="Embed" ProgID="Equation.3" ShapeID="_x0000_i1044" DrawAspect="Content" ObjectID="_1645951466" r:id="rId39"/>
        </w:object>
      </w: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2439" w:dyaOrig="320">
          <v:shape id="_x0000_i1045" type="#_x0000_t75" style="width:151.5pt;height:24.75pt" o:ole="">
            <v:imagedata r:id="rId40" o:title=""/>
          </v:shape>
          <o:OLEObject Type="Embed" ProgID="Equation.3" ShapeID="_x0000_i1045" DrawAspect="Content" ObjectID="_1645951467" r:id="rId4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180" w:dyaOrig="340">
          <v:shape id="_x0000_i1046" type="#_x0000_t75" style="width:9pt;height:17.25pt" o:ole="" o:bullet="t">
            <v:imagedata r:id="rId31" o:title=""/>
          </v:shape>
          <o:OLEObject Type="Embed" ProgID="Equation.3" ShapeID="_x0000_i1046" DrawAspect="Content" ObjectID="_1645951468" r:id="rId42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object w:dxaOrig="3480" w:dyaOrig="3570">
          <v:shape id="_x0000_i1047" type="#_x0000_t75" style="width:162pt;height:132pt" o:ole="">
            <v:imagedata r:id="rId43" o:title=""/>
          </v:shape>
          <o:OLEObject Type="Embed" ProgID="AutoCAD.Drawing.17" ShapeID="_x0000_i1047" DrawAspect="Content" ObjectID="_1645951469" r:id="rId44"/>
        </w:objec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Рисунок 10.2 – К выводу формулы превышения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180" w:dyaOrig="340">
          <v:shape id="_x0000_i1048" type="#_x0000_t75" style="width:9pt;height:17.25pt" o:ole="" o:bullet="t">
            <v:imagedata r:id="rId31" o:title=""/>
          </v:shape>
          <o:OLEObject Type="Embed" ProgID="Equation.3" ShapeID="_x0000_i1048" DrawAspect="Content" ObjectID="_1645951470" r:id="rId4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Определим поправки за кривизну и рефракцию. Поправка за кривизну возникает вследствие замены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уровенной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поверхности плоскостью.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По малости угла </w:t>
      </w:r>
      <w:r w:rsidRPr="00C72182">
        <w:rPr>
          <w:rFonts w:ascii="Times New Roman" w:hAnsi="Times New Roman"/>
          <w:position w:val="-6"/>
          <w:sz w:val="28"/>
          <w:szCs w:val="28"/>
          <w:lang w:val="x-none" w:eastAsia="x-none"/>
        </w:rPr>
        <w:object w:dxaOrig="200" w:dyaOrig="220">
          <v:shape id="_x0000_i1049" type="#_x0000_t75" style="width:15pt;height:16.5pt" o:ole="">
            <v:imagedata r:id="rId46" o:title=""/>
          </v:shape>
          <o:OLEObject Type="Embed" ProgID="Equation.3" ShapeID="_x0000_i1049" DrawAspect="Content" ObjectID="_1645951471" r:id="rId47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отрезок р можно считать дугой радиуса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S</w:t>
      </w:r>
      <w:r w:rsidRPr="00C72182">
        <w:rPr>
          <w:rFonts w:ascii="Times New Roman" w:hAnsi="Times New Roman"/>
          <w:i/>
          <w:iCs/>
          <w:sz w:val="28"/>
          <w:szCs w:val="28"/>
          <w:vertAlign w:val="superscript"/>
          <w:lang w:val="x-none" w:eastAsia="x-none"/>
        </w:rPr>
        <w:t xml:space="preserve">/ 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(или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)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en-US" w:eastAsia="x-none"/>
        </w:rPr>
        <w:object w:dxaOrig="920" w:dyaOrig="620">
          <v:shape id="_x0000_i1050" type="#_x0000_t75" style="width:63pt;height:42pt" o:ole="">
            <v:imagedata r:id="rId48" o:title=""/>
          </v:shape>
          <o:OLEObject Type="Embed" ProgID="Equation.3" ShapeID="_x0000_i1050" DrawAspect="Content" ObjectID="_1645951472" r:id="rId4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или </w:t>
      </w:r>
      <w:r w:rsidRPr="00C72182">
        <w:rPr>
          <w:rFonts w:ascii="Times New Roman" w:hAnsi="Times New Roman"/>
          <w:position w:val="-24"/>
          <w:sz w:val="28"/>
          <w:szCs w:val="28"/>
          <w:lang w:val="en-US" w:eastAsia="x-none"/>
        </w:rPr>
        <w:object w:dxaOrig="820" w:dyaOrig="620">
          <v:shape id="_x0000_i1051" type="#_x0000_t75" style="width:56.25pt;height:42pt" o:ole="">
            <v:imagedata r:id="rId50" o:title=""/>
          </v:shape>
          <o:OLEObject Type="Embed" ProgID="Equation.3" ShapeID="_x0000_i1051" DrawAspect="Content" ObjectID="_1645951473" r:id="rId5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 xml:space="preserve">Установлено, что при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=10км и Н=500 разность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-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S</w:t>
      </w:r>
      <w:r w:rsidRPr="00C72182">
        <w:rPr>
          <w:rFonts w:ascii="Times New Roman" w:hAnsi="Times New Roman"/>
          <w:i/>
          <w:iCs/>
          <w:sz w:val="28"/>
          <w:szCs w:val="28"/>
          <w:vertAlign w:val="superscript"/>
          <w:lang w:val="x-none" w:eastAsia="x-none"/>
        </w:rPr>
        <w:t>/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=8мм, а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-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S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=0,8м.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 xml:space="preserve">Поскольку </w:t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720" w:dyaOrig="660">
          <v:shape id="_x0000_i1052" type="#_x0000_t75" style="width:48.75pt;height:45pt" o:ole="">
            <v:imagedata r:id="rId52" o:title=""/>
          </v:shape>
          <o:OLEObject Type="Embed" ProgID="Equation.3" ShapeID="_x0000_i1052" DrawAspect="Content" ObjectID="_1645951474" r:id="rId53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то </w:t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1719" w:dyaOrig="660">
          <v:shape id="_x0000_i1053" type="#_x0000_t75" style="width:102pt;height:39.75pt" o:ole="">
            <v:imagedata r:id="rId54" o:title=""/>
          </v:shape>
          <o:OLEObject Type="Embed" ProgID="Equation.3" ShapeID="_x0000_i1053" DrawAspect="Content" ObjectID="_1645951475" r:id="rId5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или </w:t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820" w:dyaOrig="660">
          <v:shape id="_x0000_i1054" type="#_x0000_t75" style="width:51.75pt;height:42pt" o:ole="">
            <v:imagedata r:id="rId56" o:title=""/>
          </v:shape>
          <o:OLEObject Type="Embed" ProgID="Equation.3" ShapeID="_x0000_i1054" DrawAspect="Content" ObjectID="_1645951476" r:id="rId57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 xml:space="preserve">Поправку за рефракцию </w:t>
      </w:r>
      <w:r w:rsidRPr="00C72182">
        <w:rPr>
          <w:rFonts w:ascii="Times New Roman" w:hAnsi="Times New Roman"/>
          <w:sz w:val="28"/>
          <w:szCs w:val="28"/>
          <w:lang w:val="en-US" w:eastAsia="x-none"/>
        </w:rPr>
        <w:t>r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можно вычислить по аналогии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840" w:dyaOrig="660">
          <v:shape id="_x0000_i1055" type="#_x0000_t75" style="width:53.25pt;height:42pt" o:ole="">
            <v:imagedata r:id="rId58" o:title=""/>
          </v:shape>
          <o:OLEObject Type="Embed" ProgID="Equation.3" ShapeID="_x0000_i1055" DrawAspect="Content" ObjectID="_1645951477" r:id="rId5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или </w:t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900" w:dyaOrig="660">
          <v:shape id="_x0000_i1056" type="#_x0000_t75" style="width:57pt;height:42pt" o:ole="">
            <v:imagedata r:id="rId60" o:title=""/>
          </v:shape>
          <o:OLEObject Type="Embed" ProgID="Equation.3" ShapeID="_x0000_i1056" DrawAspect="Content" ObjectID="_1645951478" r:id="rId6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760" w:dyaOrig="620">
          <v:shape id="_x0000_i1057" type="#_x0000_t75" style="width:48pt;height:39.75pt" o:ole="">
            <v:imagedata r:id="rId62" o:title=""/>
          </v:shape>
          <o:OLEObject Type="Embed" ProgID="Equation.3" ShapeID="_x0000_i1057" DrawAspect="Content" ObjectID="_1645951479" r:id="rId63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- коэффициент рефракции.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Коэффициент земной рефракции в течении суток изменяется.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Максимальное значение он достигает перед восходом, минимальное перед заходом Солнца.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 xml:space="preserve">Углы наклона измеряют обычно с 10 до 16 часов, когда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k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имеет наиболее устойчивое значение. При расстоянии между пунктами более 8-</w:t>
      </w:r>
      <w:smartTag w:uri="urn:schemas-microsoft-com:office:smarttags" w:element="metricconverter">
        <w:smartTagPr>
          <w:attr w:name="ProductID" w:val="10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10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геодезическое нивелирование уже не применяют, ибо из-за неточного значения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k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ошибка в превышении приобретает недопустимое значение. При расстоянии менее </w:t>
      </w:r>
      <w:smartTag w:uri="urn:schemas-microsoft-com:office:smarttags" w:element="metricconverter">
        <w:smartTagPr>
          <w:attr w:name="ProductID" w:val="8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8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коэффициент земной рефракции даже с 10до 16 часов изменяется от 0,16 до 0,9. Для расстояний менее </w:t>
      </w:r>
      <w:smartTag w:uri="urn:schemas-microsoft-com:office:smarttags" w:element="metricconverter">
        <w:smartTagPr>
          <w:attr w:name="ProductID" w:val="3 км"/>
        </w:smartTagPr>
        <w:r w:rsidRPr="00C72182">
          <w:rPr>
            <w:rFonts w:ascii="Times New Roman" w:hAnsi="Times New Roman"/>
            <w:sz w:val="28"/>
            <w:szCs w:val="28"/>
            <w:lang w:val="x-none" w:eastAsia="x-none"/>
          </w:rPr>
          <w:t>3 км</w:t>
        </w:r>
      </w:smartTag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среднее значение его можно принять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k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=0,16, тогда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3580" w:dyaOrig="660">
          <v:shape id="_x0000_i1058" type="#_x0000_t75" style="width:205.5pt;height:38.25pt" o:ole="">
            <v:imagedata r:id="rId64" o:title=""/>
          </v:shape>
          <o:OLEObject Type="Embed" ProgID="Equation.3" ShapeID="_x0000_i1058" DrawAspect="Content" ObjectID="_1645951480" r:id="rId6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тогда 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2520" w:dyaOrig="660">
          <v:shape id="_x0000_i1059" type="#_x0000_t75" style="width:2in;height:37.5pt" o:ole="">
            <v:imagedata r:id="rId66" o:title=""/>
          </v:shape>
          <o:OLEObject Type="Embed" ProgID="Equation.3" ShapeID="_x0000_i1059" DrawAspect="Content" ObjectID="_1645951481" r:id="rId67"/>
        </w:objec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b/>
          <w:bCs/>
          <w:sz w:val="28"/>
          <w:szCs w:val="28"/>
          <w:lang w:val="x-none" w:eastAsia="x-none"/>
        </w:rPr>
        <w:t>10.3 Определение погрешности геометрического нивелирования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  <w:lang w:val="x-none"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При геометрическом нивелировании из середины погрешность определения превышения на станции определяется по формуле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14"/>
          <w:sz w:val="28"/>
          <w:szCs w:val="28"/>
          <w:lang w:val="x-none" w:eastAsia="x-none"/>
        </w:rPr>
        <w:object w:dxaOrig="1620" w:dyaOrig="460">
          <v:shape id="_x0000_i1060" type="#_x0000_t75" style="width:111pt;height:31.5pt" o:ole="">
            <v:imagedata r:id="rId68" o:title=""/>
          </v:shape>
          <o:OLEObject Type="Embed" ProgID="Equation.3" ShapeID="_x0000_i1060" DrawAspect="Content" ObjectID="_1645951482" r:id="rId6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а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в</w:t>
      </w:r>
      <w:proofErr w:type="spellEnd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–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средние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квадратические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погрешности отсчетов по задней и передней рейкам.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 xml:space="preserve">Принимая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а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=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в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>=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0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, получим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14"/>
          <w:sz w:val="28"/>
          <w:szCs w:val="28"/>
          <w:lang w:val="x-none" w:eastAsia="x-none"/>
        </w:rPr>
        <w:object w:dxaOrig="2400" w:dyaOrig="460">
          <v:shape id="_x0000_i1061" type="#_x0000_t75" style="width:134.25pt;height:26.25pt" o:ole="">
            <v:imagedata r:id="rId70" o:title=""/>
          </v:shape>
          <o:OLEObject Type="Embed" ProgID="Equation.3" ShapeID="_x0000_i1061" DrawAspect="Content" ObjectID="_1645951483" r:id="rId7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; </w:t>
      </w:r>
      <w:r w:rsidRPr="00C72182">
        <w:rPr>
          <w:rFonts w:ascii="Times New Roman" w:hAnsi="Times New Roman"/>
          <w:position w:val="-16"/>
          <w:sz w:val="28"/>
          <w:szCs w:val="28"/>
          <w:lang w:val="x-none" w:eastAsia="x-none"/>
        </w:rPr>
        <w:object w:dxaOrig="3019" w:dyaOrig="480">
          <v:shape id="_x0000_i1062" type="#_x0000_t75" style="width:207pt;height:33pt" o:ole="">
            <v:imagedata r:id="rId72" o:title=""/>
          </v:shape>
          <o:OLEObject Type="Embed" ProgID="Equation.3" ShapeID="_x0000_i1062" DrawAspect="Content" ObjectID="_1645951484" r:id="rId73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,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где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ур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погрешность приведения визирной оси зрительной трубы в горизонтальное положение, вызванное неточной установкой пузырька цилиндрического уровня в нуль-пункт; 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о.р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погрешность собственно отсчета по рейке; 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р.т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погрешность отсчета, зависящая от разрешающей способности трубы; 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дел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погрешность делений рейки.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30"/>
          <w:sz w:val="28"/>
          <w:szCs w:val="28"/>
          <w:lang w:val="x-none" w:eastAsia="x-none"/>
        </w:rPr>
        <w:object w:dxaOrig="1280" w:dyaOrig="720">
          <v:shape id="_x0000_i1063" type="#_x0000_t75" style="width:89.25pt;height:51pt" o:ole="">
            <v:imagedata r:id="rId74" o:title=""/>
          </v:shape>
          <o:OLEObject Type="Embed" ProgID="Equation.3" ShapeID="_x0000_i1063" DrawAspect="Content" ObjectID="_1645951485" r:id="rId7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т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x-none" w:eastAsia="x-none"/>
        </w:rPr>
        <w:t>уст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погрешность установки пузырька уровня в нуль-пункт,</w:t>
      </w:r>
      <w:r w:rsidRPr="00C72182">
        <w:rPr>
          <w:rFonts w:ascii="Times New Roman" w:hAnsi="Times New Roman"/>
          <w:position w:val="-14"/>
          <w:sz w:val="28"/>
          <w:szCs w:val="28"/>
          <w:lang w:val="x-none" w:eastAsia="x-none"/>
        </w:rPr>
        <w:object w:dxaOrig="1140" w:dyaOrig="380">
          <v:shape id="_x0000_i1064" type="#_x0000_t75" style="width:108pt;height:27.75pt" o:ole="">
            <v:imagedata r:id="rId76" o:title=""/>
          </v:shape>
          <o:OLEObject Type="Embed" ProgID="Equation.3" ShapeID="_x0000_i1064" DrawAspect="Content" ObjectID="_1645951486" r:id="rId77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(</w:t>
      </w:r>
      <w:r w:rsidRPr="00C72182">
        <w:rPr>
          <w:rFonts w:ascii="Times New Roman" w:hAnsi="Times New Roman"/>
          <w:position w:val="-6"/>
          <w:sz w:val="28"/>
          <w:szCs w:val="28"/>
          <w:lang w:val="x-none" w:eastAsia="x-none"/>
        </w:rPr>
        <w:object w:dxaOrig="200" w:dyaOrig="220">
          <v:shape id="_x0000_i1065" type="#_x0000_t75" style="width:9.75pt;height:17.25pt" o:ole="">
            <v:imagedata r:id="rId78" o:title=""/>
          </v:shape>
          <o:OLEObject Type="Embed" ProgID="Equation.3" ShapeID="_x0000_i1065" DrawAspect="Content" ObjectID="_1645951487" r:id="rId7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- цена деления уровня, сек);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</w:t>
      </w:r>
      <w:proofErr w:type="gramStart"/>
      <w:r w:rsidRPr="00C72182">
        <w:rPr>
          <w:rFonts w:ascii="Times New Roman" w:hAnsi="Times New Roman"/>
          <w:sz w:val="28"/>
          <w:szCs w:val="28"/>
          <w:lang w:val="x-none" w:eastAsia="x-none"/>
        </w:rPr>
        <w:t>расстояние</w:t>
      </w:r>
      <w:proofErr w:type="gram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от нивелира до рейки.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2500" w:dyaOrig="620">
          <v:shape id="_x0000_i1066" type="#_x0000_t75" style="width:161.25pt;height:40.5pt" o:ole="">
            <v:imagedata r:id="rId80" o:title=""/>
          </v:shape>
          <o:OLEObject Type="Embed" ProgID="Equation.3" ShapeID="_x0000_i1066" DrawAspect="Content" ObjectID="_1645951488" r:id="rId8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,мм – формула А.С. Чеботарева,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>где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Г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увеличение зрительной трубы;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t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цена деления рейки, мм.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30"/>
          <w:sz w:val="28"/>
          <w:szCs w:val="28"/>
          <w:lang w:val="x-none" w:eastAsia="x-none"/>
        </w:rPr>
        <w:object w:dxaOrig="1340" w:dyaOrig="720">
          <v:shape id="_x0000_i1067" type="#_x0000_t75" style="width:80.25pt;height:44.25pt" o:ole="">
            <v:imagedata r:id="rId82" o:title=""/>
          </v:shape>
          <o:OLEObject Type="Embed" ProgID="Equation.3" ShapeID="_x0000_i1067" DrawAspect="Content" ObjectID="_1645951489" r:id="rId83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;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1240" w:dyaOrig="620">
          <v:shape id="_x0000_i1068" type="#_x0000_t75" style="width:80.25pt;height:40.5pt" o:ole="">
            <v:imagedata r:id="rId84" o:title=""/>
          </v:shape>
          <o:OLEObject Type="Embed" ProgID="Equation.3" ShapeID="_x0000_i1068" DrawAspect="Content" ObjectID="_1645951490" r:id="rId8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Δ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дел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случайная погрешность в положении дециметрового деления шашечной рейки, принимая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Δ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дел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>=1мм.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Общая погрешность в положении пункта по высоте при геометрическом нивелировании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x-none"/>
        </w:rPr>
      </w:pPr>
      <w:r w:rsidRPr="00C72182">
        <w:rPr>
          <w:rFonts w:ascii="Times New Roman" w:hAnsi="Times New Roman"/>
          <w:position w:val="-12"/>
          <w:sz w:val="28"/>
          <w:szCs w:val="28"/>
          <w:lang w:val="x-none" w:eastAsia="x-none"/>
        </w:rPr>
        <w:object w:dxaOrig="1359" w:dyaOrig="400">
          <v:shape id="_x0000_i1069" type="#_x0000_t75" style="width:90pt;height:26.25pt" o:ole="">
            <v:imagedata r:id="rId86" o:title=""/>
          </v:shape>
          <o:OLEObject Type="Embed" ProgID="Equation.3" ShapeID="_x0000_i1069" DrawAspect="Content" ObjectID="_1645951491" r:id="rId87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п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число станций.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x-none"/>
        </w:rPr>
      </w:pP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b/>
          <w:bCs/>
          <w:sz w:val="28"/>
          <w:szCs w:val="28"/>
          <w:lang w:val="x-none" w:eastAsia="x-none"/>
        </w:rPr>
        <w:t>10.4 Определение погрешности тригонометрического нивелирования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Погрешность в превышении, найденном тригонометрическим нивелированием определится по формуле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32"/>
          <w:sz w:val="28"/>
          <w:szCs w:val="28"/>
          <w:lang w:val="x-none" w:eastAsia="x-none"/>
        </w:rPr>
        <w:object w:dxaOrig="3519" w:dyaOrig="780">
          <v:shape id="_x0000_i1070" type="#_x0000_t75" style="width:197.25pt;height:44.25pt" o:ole="">
            <v:imagedata r:id="rId88" o:title=""/>
          </v:shape>
          <o:OLEObject Type="Embed" ProgID="Equation.3" ShapeID="_x0000_i1070" DrawAspect="Content" ObjectID="_1645951492" r:id="rId89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m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m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en-US" w:eastAsia="x-none"/>
        </w:rPr>
        <w:t>v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,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</w:t>
      </w:r>
      <w:proofErr w:type="spellStart"/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m</w:t>
      </w:r>
      <w:r w:rsidRPr="00C72182">
        <w:rPr>
          <w:rFonts w:ascii="Times New Roman" w:hAnsi="Times New Roman"/>
          <w:i/>
          <w:iCs/>
          <w:sz w:val="28"/>
          <w:szCs w:val="28"/>
          <w:vertAlign w:val="subscript"/>
          <w:lang w:val="en-US" w:eastAsia="x-none"/>
        </w:rPr>
        <w:t>k</w:t>
      </w:r>
      <w:proofErr w:type="spellEnd"/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–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средние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квадратические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погрешности соответственно расстояния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d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. угла наклона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v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и коэффициента рефракции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k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; </w:t>
      </w: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340" w:dyaOrig="360">
          <v:shape id="_x0000_i1071" type="#_x0000_t75" style="width:20.25pt;height:21pt" o:ole="">
            <v:imagedata r:id="rId90" o:title=""/>
          </v:shape>
          <o:OLEObject Type="Embed" ProgID="Equation.3" ShapeID="_x0000_i1071" DrawAspect="Content" ObjectID="_1645951493" r:id="rId91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=206265 – число секунд в радиане.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При измерении угла наклона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 xml:space="preserve"> 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v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приемами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6"/>
          <w:sz w:val="28"/>
          <w:szCs w:val="28"/>
          <w:lang w:val="x-none" w:eastAsia="x-none"/>
        </w:rPr>
        <w:object w:dxaOrig="2520" w:dyaOrig="700">
          <v:shape id="_x0000_i1072" type="#_x0000_t75" style="width:161.25pt;height:44.25pt" o:ole="">
            <v:imagedata r:id="rId92" o:title=""/>
          </v:shape>
          <o:OLEObject Type="Embed" ProgID="Equation.3" ShapeID="_x0000_i1072" DrawAspect="Content" ObjectID="_1645951494" r:id="rId93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п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число станций.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1020" w:dyaOrig="660">
          <v:shape id="_x0000_i1073" type="#_x0000_t75" style="width:1in;height:45.75pt" o:ole="">
            <v:imagedata r:id="rId94" o:title=""/>
          </v:shape>
          <o:OLEObject Type="Embed" ProgID="Equation.3" ShapeID="_x0000_i1073" DrawAspect="Content" ObjectID="_1645951495" r:id="rId95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; - погрешность визирования (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Г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увеличение зрительной трубы); </w:t>
      </w:r>
      <w:r w:rsidRPr="00C72182">
        <w:rPr>
          <w:rFonts w:ascii="Times New Roman" w:hAnsi="Times New Roman"/>
          <w:position w:val="-12"/>
          <w:sz w:val="28"/>
          <w:szCs w:val="28"/>
          <w:lang w:val="x-none" w:eastAsia="x-none"/>
        </w:rPr>
        <w:object w:dxaOrig="1939" w:dyaOrig="360">
          <v:shape id="_x0000_i1074" type="#_x0000_t75" style="width:143.25pt;height:27pt" o:ole="">
            <v:imagedata r:id="rId96" o:title=""/>
          </v:shape>
          <o:OLEObject Type="Embed" ProgID="Equation.3" ShapeID="_x0000_i1074" DrawAspect="Content" ObjectID="_1645951496" r:id="rId97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- погрешность прибора (</w:t>
      </w:r>
      <w:r w:rsidRPr="00C72182">
        <w:rPr>
          <w:rFonts w:ascii="Times New Roman" w:hAnsi="Times New Roman"/>
          <w:position w:val="-6"/>
          <w:sz w:val="28"/>
          <w:szCs w:val="28"/>
          <w:lang w:val="x-none" w:eastAsia="x-none"/>
        </w:rPr>
        <w:object w:dxaOrig="200" w:dyaOrig="220">
          <v:shape id="_x0000_i1075" type="#_x0000_t75" style="width:15pt;height:16.5pt" o:ole="">
            <v:imagedata r:id="rId78" o:title=""/>
          </v:shape>
          <o:OLEObject Type="Embed" ProgID="Equation.3" ShapeID="_x0000_i1075" DrawAspect="Content" ObjectID="_1645951497" r:id="rId98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- цена деления уровня в секундах) </w:t>
      </w: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760" w:dyaOrig="620">
          <v:shape id="_x0000_i1076" type="#_x0000_t75" style="width:45pt;height:37.5pt" o:ole="">
            <v:imagedata r:id="rId99" o:title=""/>
          </v:shape>
          <o:OLEObject Type="Embed" ProgID="Equation.3" ShapeID="_x0000_i1076" DrawAspect="Content" ObjectID="_1645951498" r:id="rId100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- погрешность отсчета (</w:t>
      </w:r>
      <w:r w:rsidRPr="00C72182">
        <w:rPr>
          <w:rFonts w:ascii="Times New Roman" w:hAnsi="Times New Roman"/>
          <w:i/>
          <w:iCs/>
          <w:sz w:val="28"/>
          <w:szCs w:val="28"/>
          <w:lang w:val="en-US" w:eastAsia="x-none"/>
        </w:rPr>
        <w:t>t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точность отсчетного устройства).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При измерении угла наклона в прямом направлениях или при измерении углов наклона с 2</w:t>
      </w:r>
      <w:r w:rsidRPr="00C72182">
        <w:rPr>
          <w:rFonts w:ascii="Times New Roman" w:hAnsi="Times New Roman"/>
          <w:i/>
          <w:iCs/>
          <w:sz w:val="28"/>
          <w:szCs w:val="28"/>
          <w:vertAlign w:val="superscript"/>
          <w:lang w:val="x-none" w:eastAsia="x-none"/>
        </w:rPr>
        <w:t>х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-3</w:t>
      </w:r>
      <w:r w:rsidRPr="00C72182">
        <w:rPr>
          <w:rFonts w:ascii="Times New Roman" w:hAnsi="Times New Roman"/>
          <w:i/>
          <w:iCs/>
          <w:sz w:val="28"/>
          <w:szCs w:val="28"/>
          <w:vertAlign w:val="superscript"/>
          <w:lang w:val="x-none" w:eastAsia="x-none"/>
        </w:rPr>
        <w:t>х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пунктов опорной сети погрешность угла наклона будет соответственно в </w:t>
      </w:r>
      <w:r w:rsidRPr="00C72182">
        <w:rPr>
          <w:rFonts w:ascii="Times New Roman" w:hAnsi="Times New Roman"/>
          <w:position w:val="-6"/>
          <w:sz w:val="28"/>
          <w:szCs w:val="28"/>
          <w:lang w:val="x-none" w:eastAsia="x-none"/>
        </w:rPr>
        <w:object w:dxaOrig="380" w:dyaOrig="340">
          <v:shape id="_x0000_i1077" type="#_x0000_t75" style="width:18.75pt;height:17.25pt" o:ole="">
            <v:imagedata r:id="rId101" o:title=""/>
          </v:shape>
          <o:OLEObject Type="Embed" ProgID="Equation.3" ShapeID="_x0000_i1077" DrawAspect="Content" ObjectID="_1645951499" r:id="rId102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или </w:t>
      </w:r>
      <w:r w:rsidRPr="00C72182">
        <w:rPr>
          <w:rFonts w:ascii="Times New Roman" w:hAnsi="Times New Roman"/>
          <w:position w:val="-8"/>
          <w:sz w:val="28"/>
          <w:szCs w:val="28"/>
          <w:lang w:val="x-none" w:eastAsia="x-none"/>
        </w:rPr>
        <w:object w:dxaOrig="360" w:dyaOrig="360">
          <v:shape id="_x0000_i1078" type="#_x0000_t75" style="width:18pt;height:18pt" o:ole="">
            <v:imagedata r:id="rId103" o:title=""/>
          </v:shape>
          <o:OLEObject Type="Embed" ProgID="Equation.3" ShapeID="_x0000_i1078" DrawAspect="Content" ObjectID="_1645951500" r:id="rId104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раз меньше.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>При нормальных метеорологических условиях, пользуясь средним значением коэффициента рефракции – 0,16, максимальное его отклонение</w:t>
      </w:r>
      <w:r w:rsidRPr="00C72182">
        <w:rPr>
          <w:rFonts w:ascii="Times New Roman" w:hAnsi="Times New Roman"/>
          <w:position w:val="-10"/>
          <w:sz w:val="28"/>
          <w:szCs w:val="28"/>
          <w:lang w:val="x-none" w:eastAsia="x-none"/>
        </w:rPr>
        <w:object w:dxaOrig="680" w:dyaOrig="320">
          <v:shape id="_x0000_i1079" type="#_x0000_t75" style="width:33.75pt;height:15.75pt" o:ole="">
            <v:imagedata r:id="rId105" o:title=""/>
          </v:shape>
          <o:OLEObject Type="Embed" ProgID="Equation.3" ShapeID="_x0000_i1079" DrawAspect="Content" ObjectID="_1645951501" r:id="rId106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, тогда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24"/>
          <w:sz w:val="28"/>
          <w:szCs w:val="28"/>
          <w:lang w:val="x-none" w:eastAsia="x-none"/>
        </w:rPr>
        <w:object w:dxaOrig="2740" w:dyaOrig="660">
          <v:shape id="_x0000_i1080" type="#_x0000_t75" style="width:170.25pt;height:42pt" o:ole="">
            <v:imagedata r:id="rId107" o:title=""/>
          </v:shape>
          <o:OLEObject Type="Embed" ProgID="Equation.3" ShapeID="_x0000_i1080" DrawAspect="Content" ObjectID="_1645951502" r:id="rId108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>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sz w:val="28"/>
          <w:szCs w:val="28"/>
          <w:lang w:val="x-none" w:eastAsia="x-none"/>
        </w:rPr>
        <w:tab/>
        <w:t xml:space="preserve">Средняя </w:t>
      </w:r>
      <w:proofErr w:type="spellStart"/>
      <w:r w:rsidRPr="00C72182">
        <w:rPr>
          <w:rFonts w:ascii="Times New Roman" w:hAnsi="Times New Roman"/>
          <w:sz w:val="28"/>
          <w:szCs w:val="28"/>
          <w:lang w:val="x-none" w:eastAsia="x-none"/>
        </w:rPr>
        <w:t>квадратическая</w:t>
      </w:r>
      <w:proofErr w:type="spellEnd"/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погрешность хода тригонометрического нивелирования при условии примерно равных сторон будет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x-none" w:eastAsia="x-none"/>
        </w:rPr>
      </w:pPr>
      <w:r w:rsidRPr="00C72182">
        <w:rPr>
          <w:rFonts w:ascii="Times New Roman" w:hAnsi="Times New Roman"/>
          <w:position w:val="-12"/>
          <w:sz w:val="28"/>
          <w:szCs w:val="28"/>
          <w:lang w:val="x-none" w:eastAsia="x-none"/>
        </w:rPr>
        <w:object w:dxaOrig="1240" w:dyaOrig="400">
          <v:shape id="_x0000_i1081" type="#_x0000_t75" style="width:1in;height:23.25pt" o:ole="">
            <v:imagedata r:id="rId109" o:title=""/>
          </v:shape>
          <o:OLEObject Type="Embed" ProgID="Equation.3" ShapeID="_x0000_i1081" DrawAspect="Content" ObjectID="_1645951503" r:id="rId110"/>
        </w:objec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, где </w:t>
      </w:r>
      <w:r w:rsidRPr="00C72182">
        <w:rPr>
          <w:rFonts w:ascii="Times New Roman" w:hAnsi="Times New Roman"/>
          <w:i/>
          <w:iCs/>
          <w:sz w:val="28"/>
          <w:szCs w:val="28"/>
          <w:lang w:val="x-none" w:eastAsia="x-none"/>
        </w:rPr>
        <w:t>п</w:t>
      </w:r>
      <w:r w:rsidRPr="00C72182">
        <w:rPr>
          <w:rFonts w:ascii="Times New Roman" w:hAnsi="Times New Roman"/>
          <w:sz w:val="28"/>
          <w:szCs w:val="28"/>
          <w:lang w:val="x-none" w:eastAsia="x-none"/>
        </w:rPr>
        <w:t xml:space="preserve"> – число превышений в ходе.</w:t>
      </w:r>
    </w:p>
    <w:p w:rsidR="00A523D9" w:rsidRPr="00C72182" w:rsidRDefault="00A523D9" w:rsidP="00A523D9">
      <w:pPr>
        <w:widowControl w:val="0"/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C7218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                       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sz w:val="28"/>
          <w:szCs w:val="28"/>
          <w:lang w:eastAsia="zh-CN"/>
        </w:rPr>
        <w:t xml:space="preserve">Контрольные задания для СРС 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sz w:val="28"/>
          <w:szCs w:val="28"/>
          <w:lang w:eastAsia="zh-CN"/>
        </w:rPr>
        <w:t xml:space="preserve">1 Изучить раздел инструкции по закладке центров плановой </w:t>
      </w:r>
      <w:proofErr w:type="gramStart"/>
      <w:r w:rsidRPr="00C72182">
        <w:rPr>
          <w:rFonts w:ascii="Times New Roman" w:eastAsia="SimSun" w:hAnsi="Times New Roman"/>
          <w:sz w:val="28"/>
          <w:szCs w:val="28"/>
          <w:lang w:eastAsia="zh-CN"/>
        </w:rPr>
        <w:t>государственной  геодезической</w:t>
      </w:r>
      <w:proofErr w:type="gramEnd"/>
      <w:r w:rsidRPr="00C72182">
        <w:rPr>
          <w:rFonts w:ascii="Times New Roman" w:eastAsia="SimSun" w:hAnsi="Times New Roman"/>
          <w:sz w:val="28"/>
          <w:szCs w:val="28"/>
          <w:lang w:eastAsia="zh-CN"/>
        </w:rPr>
        <w:t xml:space="preserve"> сети.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sz w:val="28"/>
          <w:szCs w:val="28"/>
          <w:lang w:eastAsia="zh-CN"/>
        </w:rPr>
        <w:t>2 Изучить раздел инструкции по точности прокладки сетей сгущения.</w:t>
      </w:r>
    </w:p>
    <w:p w:rsidR="00A523D9" w:rsidRPr="00C72182" w:rsidRDefault="00A523D9" w:rsidP="00A523D9">
      <w:pPr>
        <w:tabs>
          <w:tab w:val="left" w:pos="0"/>
          <w:tab w:val="left" w:pos="709"/>
        </w:tabs>
        <w:spacing w:after="0" w:line="240" w:lineRule="auto"/>
        <w:ind w:firstLine="567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C72182">
        <w:rPr>
          <w:rFonts w:ascii="Times New Roman" w:eastAsia="SimSun" w:hAnsi="Times New Roman"/>
          <w:sz w:val="28"/>
          <w:szCs w:val="28"/>
          <w:lang w:eastAsia="zh-CN"/>
        </w:rPr>
        <w:lastRenderedPageBreak/>
        <w:t>3 Изучить методику закладки реперов и марок.</w:t>
      </w:r>
    </w:p>
    <w:p w:rsidR="00A523D9" w:rsidRPr="00C72182" w:rsidRDefault="00A523D9" w:rsidP="00A523D9">
      <w:pPr>
        <w:tabs>
          <w:tab w:val="left" w:pos="0"/>
        </w:tabs>
        <w:spacing w:after="0" w:line="240" w:lineRule="auto"/>
        <w:ind w:firstLine="540"/>
        <w:jc w:val="both"/>
        <w:rPr>
          <w:rFonts w:ascii="Times New Roman" w:hAnsi="Times New Roman"/>
          <w:bCs/>
          <w:caps/>
          <w:sz w:val="24"/>
          <w:szCs w:val="28"/>
          <w:lang w:eastAsia="ru-RU"/>
        </w:rPr>
      </w:pPr>
    </w:p>
    <w:p w:rsidR="00F52BC8" w:rsidRDefault="00F52BC8">
      <w:bookmarkStart w:id="0" w:name="_GoBack"/>
      <w:bookmarkEnd w:id="0"/>
    </w:p>
    <w:sectPr w:rsidR="00F5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9"/>
    <w:rsid w:val="00A523D9"/>
    <w:rsid w:val="00F5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7303E6-16A4-4AB0-BC92-6ACB8D0B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3D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33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6.bin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07" Type="http://schemas.openxmlformats.org/officeDocument/2006/relationships/image" Target="media/image49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41.bin"/><Relationship Id="rId87" Type="http://schemas.openxmlformats.org/officeDocument/2006/relationships/oleObject" Target="embeddings/oleObject45.bin"/><Relationship Id="rId102" Type="http://schemas.openxmlformats.org/officeDocument/2006/relationships/oleObject" Target="embeddings/oleObject53.bin"/><Relationship Id="rId110" Type="http://schemas.openxmlformats.org/officeDocument/2006/relationships/oleObject" Target="embeddings/oleObject57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2.bin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2.bin"/><Relationship Id="rId105" Type="http://schemas.openxmlformats.org/officeDocument/2006/relationships/image" Target="media/image48.wmf"/><Relationship Id="rId8" Type="http://schemas.openxmlformats.org/officeDocument/2006/relationships/image" Target="media/image3.wmf"/><Relationship Id="rId51" Type="http://schemas.openxmlformats.org/officeDocument/2006/relationships/oleObject" Target="embeddings/oleObject27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48.bin"/><Relationship Id="rId98" Type="http://schemas.openxmlformats.org/officeDocument/2006/relationships/oleObject" Target="embeddings/oleObject5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9.bin"/><Relationship Id="rId46" Type="http://schemas.openxmlformats.org/officeDocument/2006/relationships/image" Target="media/image19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103" Type="http://schemas.openxmlformats.org/officeDocument/2006/relationships/image" Target="media/image47.wmf"/><Relationship Id="rId108" Type="http://schemas.openxmlformats.org/officeDocument/2006/relationships/oleObject" Target="embeddings/oleObject56.bin"/><Relationship Id="rId20" Type="http://schemas.openxmlformats.org/officeDocument/2006/relationships/image" Target="media/image9.wmf"/><Relationship Id="rId41" Type="http://schemas.openxmlformats.org/officeDocument/2006/relationships/oleObject" Target="embeddings/oleObject21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7.bin"/><Relationship Id="rId96" Type="http://schemas.openxmlformats.org/officeDocument/2006/relationships/image" Target="media/image44.wmf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106" Type="http://schemas.openxmlformats.org/officeDocument/2006/relationships/oleObject" Target="embeddings/oleObject55.bin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3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4.bin"/><Relationship Id="rId73" Type="http://schemas.openxmlformats.org/officeDocument/2006/relationships/oleObject" Target="embeddings/oleObject38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20.bin"/><Relationship Id="rId109" Type="http://schemas.openxmlformats.org/officeDocument/2006/relationships/image" Target="media/image50.wmf"/><Relationship Id="rId34" Type="http://schemas.openxmlformats.org/officeDocument/2006/relationships/oleObject" Target="embeddings/oleObject16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9.bin"/><Relationship Id="rId76" Type="http://schemas.openxmlformats.org/officeDocument/2006/relationships/image" Target="media/image34.wmf"/><Relationship Id="rId97" Type="http://schemas.openxmlformats.org/officeDocument/2006/relationships/oleObject" Target="embeddings/oleObject50.bin"/><Relationship Id="rId104" Type="http://schemas.openxmlformats.org/officeDocument/2006/relationships/oleObject" Target="embeddings/oleObject54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7.bin"/><Relationship Id="rId92" Type="http://schemas.openxmlformats.org/officeDocument/2006/relationships/image" Target="media/image4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2020-03-17T05:56:00Z</dcterms:created>
  <dcterms:modified xsi:type="dcterms:W3CDTF">2020-03-17T05:57:00Z</dcterms:modified>
</cp:coreProperties>
</file>